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878415" w14:textId="18423559" w:rsidR="006F29F1" w:rsidRDefault="008A611B" w:rsidP="00D2014D">
      <w:pPr>
        <w:pStyle w:val="Heading1"/>
        <w:spacing w:after="0" w:line="240" w:lineRule="auto"/>
        <w:rPr>
          <w:color w:val="auto"/>
        </w:rPr>
      </w:pPr>
      <w:bookmarkStart w:id="0" w:name="_GoBack"/>
      <w:bookmarkEnd w:id="0"/>
      <w:r>
        <w:rPr>
          <w:color w:val="auto"/>
        </w:rPr>
        <w:t xml:space="preserve">Chemistry </w:t>
      </w:r>
      <w:r w:rsidR="000B0121">
        <w:rPr>
          <w:color w:val="auto"/>
        </w:rPr>
        <w:t>1 Syllabus</w:t>
      </w:r>
    </w:p>
    <w:p w14:paraId="41969D59" w14:textId="138C7842" w:rsidR="00D2014D" w:rsidRPr="00D2014D" w:rsidRDefault="00D2014D" w:rsidP="00D2014D">
      <w:pPr>
        <w:jc w:val="center"/>
        <w:rPr>
          <w:lang w:eastAsia="ja-JP"/>
        </w:rPr>
      </w:pPr>
      <w:r>
        <w:rPr>
          <w:b/>
          <w:sz w:val="28"/>
          <w:szCs w:val="28"/>
          <w:lang w:eastAsia="ja-JP"/>
        </w:rPr>
        <w:t>Seabreeze High School</w:t>
      </w:r>
    </w:p>
    <w:tbl>
      <w:tblPr>
        <w:tblW w:w="5000" w:type="pct"/>
        <w:tblBorders>
          <w:bottom w:val="single" w:sz="4" w:space="0" w:color="auto"/>
        </w:tblBorders>
        <w:tblCellMar>
          <w:left w:w="0" w:type="dxa"/>
          <w:right w:w="0" w:type="dxa"/>
        </w:tblCellMar>
        <w:tblLook w:val="04A0" w:firstRow="1" w:lastRow="0" w:firstColumn="1" w:lastColumn="0" w:noHBand="0" w:noVBand="1"/>
        <w:tblDescription w:val="Course information"/>
      </w:tblPr>
      <w:tblGrid>
        <w:gridCol w:w="1092"/>
        <w:gridCol w:w="3901"/>
        <w:gridCol w:w="623"/>
        <w:gridCol w:w="3744"/>
      </w:tblGrid>
      <w:tr w:rsidR="003F47BD" w:rsidRPr="003F47BD" w14:paraId="055C1DF3" w14:textId="77777777" w:rsidTr="006F29F1">
        <w:tc>
          <w:tcPr>
            <w:tcW w:w="583" w:type="pct"/>
          </w:tcPr>
          <w:p w14:paraId="01E310B2" w14:textId="77777777" w:rsidR="006F29F1" w:rsidRPr="003F47BD" w:rsidRDefault="006F29F1" w:rsidP="00E22A78">
            <w:pPr>
              <w:rPr>
                <w:rFonts w:asciiTheme="majorHAnsi" w:hAnsiTheme="majorHAnsi"/>
              </w:rPr>
            </w:pPr>
            <w:r w:rsidRPr="003F47BD">
              <w:rPr>
                <w:rStyle w:val="Heading2Char"/>
                <w:color w:val="auto"/>
              </w:rPr>
              <w:t>Instructor</w:t>
            </w:r>
          </w:p>
        </w:tc>
        <w:tc>
          <w:tcPr>
            <w:tcW w:w="2084" w:type="pct"/>
          </w:tcPr>
          <w:p w14:paraId="7F0421E6" w14:textId="170C38D7" w:rsidR="006F29F1" w:rsidRPr="003F47BD" w:rsidRDefault="000B0121" w:rsidP="008A611B">
            <w:pPr>
              <w:rPr>
                <w:rFonts w:asciiTheme="majorHAnsi" w:hAnsiTheme="majorHAnsi"/>
              </w:rPr>
            </w:pPr>
            <w:r>
              <w:rPr>
                <w:rFonts w:asciiTheme="majorHAnsi" w:hAnsiTheme="majorHAnsi"/>
              </w:rPr>
              <w:t>Eli Freidus</w:t>
            </w:r>
            <w:r w:rsidR="00DD34ED">
              <w:rPr>
                <w:rFonts w:asciiTheme="majorHAnsi" w:hAnsiTheme="majorHAnsi"/>
              </w:rPr>
              <w:t xml:space="preserve"> – Room 8-005</w:t>
            </w:r>
          </w:p>
        </w:tc>
        <w:tc>
          <w:tcPr>
            <w:tcW w:w="333" w:type="pct"/>
          </w:tcPr>
          <w:p w14:paraId="5C957F53" w14:textId="77777777" w:rsidR="006F29F1" w:rsidRPr="003F47BD" w:rsidRDefault="006F29F1" w:rsidP="00E22A78">
            <w:pPr>
              <w:rPr>
                <w:rFonts w:asciiTheme="majorHAnsi" w:hAnsiTheme="majorHAnsi"/>
              </w:rPr>
            </w:pPr>
            <w:r w:rsidRPr="003F47BD">
              <w:rPr>
                <w:rStyle w:val="Heading2Char"/>
                <w:color w:val="auto"/>
              </w:rPr>
              <w:t>Phone</w:t>
            </w:r>
          </w:p>
        </w:tc>
        <w:tc>
          <w:tcPr>
            <w:tcW w:w="2000" w:type="pct"/>
          </w:tcPr>
          <w:p w14:paraId="6E426CFD" w14:textId="7E12A1E9" w:rsidR="006F29F1" w:rsidRPr="003F47BD" w:rsidRDefault="000B0121" w:rsidP="000B0121">
            <w:pPr>
              <w:rPr>
                <w:rFonts w:asciiTheme="majorHAnsi" w:hAnsiTheme="majorHAnsi"/>
              </w:rPr>
            </w:pPr>
            <w:r>
              <w:rPr>
                <w:rFonts w:asciiTheme="majorHAnsi" w:hAnsiTheme="majorHAnsi"/>
              </w:rPr>
              <w:t>386-258-4674</w:t>
            </w:r>
          </w:p>
        </w:tc>
      </w:tr>
      <w:tr w:rsidR="003F47BD" w:rsidRPr="003F47BD" w14:paraId="7E15BBC9" w14:textId="77777777" w:rsidTr="006F29F1">
        <w:tc>
          <w:tcPr>
            <w:tcW w:w="583" w:type="pct"/>
          </w:tcPr>
          <w:p w14:paraId="39F5A674" w14:textId="77777777" w:rsidR="006F29F1" w:rsidRPr="003F47BD" w:rsidRDefault="006F29F1" w:rsidP="00E22A78">
            <w:pPr>
              <w:rPr>
                <w:rFonts w:asciiTheme="majorHAnsi" w:hAnsiTheme="majorHAnsi"/>
              </w:rPr>
            </w:pPr>
            <w:r w:rsidRPr="003F47BD">
              <w:rPr>
                <w:rStyle w:val="Heading2Char"/>
                <w:color w:val="auto"/>
              </w:rPr>
              <w:t>Office Hours</w:t>
            </w:r>
          </w:p>
        </w:tc>
        <w:tc>
          <w:tcPr>
            <w:tcW w:w="2084" w:type="pct"/>
          </w:tcPr>
          <w:p w14:paraId="1FFF8C4E" w14:textId="2443ADC4" w:rsidR="006F29F1" w:rsidRPr="003F47BD" w:rsidRDefault="000B0121" w:rsidP="008A611B">
            <w:pPr>
              <w:rPr>
                <w:rFonts w:asciiTheme="majorHAnsi" w:hAnsiTheme="majorHAnsi"/>
              </w:rPr>
            </w:pPr>
            <w:r>
              <w:rPr>
                <w:rFonts w:asciiTheme="majorHAnsi" w:hAnsiTheme="majorHAnsi"/>
              </w:rPr>
              <w:t>Lunch – Monday through Thursday</w:t>
            </w:r>
          </w:p>
        </w:tc>
        <w:tc>
          <w:tcPr>
            <w:tcW w:w="333" w:type="pct"/>
          </w:tcPr>
          <w:p w14:paraId="29B64FD9" w14:textId="77777777" w:rsidR="006F29F1" w:rsidRPr="003F47BD" w:rsidRDefault="006F29F1" w:rsidP="00E22A78">
            <w:pPr>
              <w:rPr>
                <w:rFonts w:asciiTheme="majorHAnsi" w:hAnsiTheme="majorHAnsi"/>
              </w:rPr>
            </w:pPr>
            <w:r w:rsidRPr="003F47BD">
              <w:rPr>
                <w:rStyle w:val="Heading2Char"/>
                <w:color w:val="auto"/>
              </w:rPr>
              <w:t>E-mail</w:t>
            </w:r>
          </w:p>
        </w:tc>
        <w:tc>
          <w:tcPr>
            <w:tcW w:w="2000" w:type="pct"/>
          </w:tcPr>
          <w:p w14:paraId="5222048F" w14:textId="6D6184B0" w:rsidR="006F29F1" w:rsidRPr="003F47BD" w:rsidRDefault="000B0121" w:rsidP="008A611B">
            <w:pPr>
              <w:rPr>
                <w:rFonts w:asciiTheme="majorHAnsi" w:hAnsiTheme="majorHAnsi"/>
              </w:rPr>
            </w:pPr>
            <w:r>
              <w:rPr>
                <w:rFonts w:asciiTheme="majorHAnsi" w:hAnsiTheme="majorHAnsi"/>
              </w:rPr>
              <w:t>efreidus</w:t>
            </w:r>
            <w:r w:rsidR="008A611B">
              <w:rPr>
                <w:rFonts w:asciiTheme="majorHAnsi" w:hAnsiTheme="majorHAnsi"/>
              </w:rPr>
              <w:t>@volusia.k12.fl.us</w:t>
            </w:r>
          </w:p>
        </w:tc>
      </w:tr>
    </w:tbl>
    <w:p w14:paraId="22D2060F" w14:textId="77777777" w:rsidR="00171CEC" w:rsidRDefault="00171CEC">
      <w:pPr>
        <w:rPr>
          <w:rFonts w:asciiTheme="majorHAnsi" w:hAnsiTheme="majorHAnsi"/>
          <w:b/>
          <w:u w:val="single"/>
        </w:rPr>
      </w:pPr>
    </w:p>
    <w:p w14:paraId="6E3F209F" w14:textId="77777777" w:rsidR="003600C0" w:rsidRPr="003600C0" w:rsidRDefault="003F47BD">
      <w:pPr>
        <w:rPr>
          <w:rFonts w:asciiTheme="majorHAnsi" w:hAnsiTheme="majorHAnsi"/>
          <w:b/>
          <w:u w:val="single"/>
        </w:rPr>
      </w:pPr>
      <w:r w:rsidRPr="003600C0">
        <w:rPr>
          <w:rFonts w:asciiTheme="majorHAnsi" w:hAnsiTheme="majorHAnsi"/>
          <w:b/>
          <w:u w:val="single"/>
        </w:rPr>
        <w:t>Course Description</w:t>
      </w:r>
    </w:p>
    <w:p w14:paraId="06D3764A" w14:textId="77777777" w:rsidR="000B3799" w:rsidRDefault="007A4893">
      <w:r>
        <w:t>Students explore the fundamental principles of chemistry which characterize the properties of matter and h</w:t>
      </w:r>
      <w:r w:rsidR="000B3799">
        <w:t xml:space="preserve">ow it reacts.   </w:t>
      </w:r>
      <w:r>
        <w:t xml:space="preserve"> </w:t>
      </w:r>
      <w:r w:rsidR="000B3799">
        <w:t>L</w:t>
      </w:r>
      <w:r>
        <w:t xml:space="preserve">aboratory </w:t>
      </w:r>
      <w:r w:rsidR="000B3799">
        <w:t xml:space="preserve">work is incorporated throughout the course, allowing students to </w:t>
      </w:r>
      <w:r>
        <w:t>obtain, organize and analyze data. Conclusions are developed using both qualitative and quantitative procedures. Topics include, but are not limited to: measurement, atomic structure, electron configuration, the periodic table</w:t>
      </w:r>
      <w:r w:rsidR="000B3799">
        <w:t>,</w:t>
      </w:r>
      <w:r>
        <w:t xml:space="preserve"> bonding, gas laws, solutions, stoichiometry, reactions, </w:t>
      </w:r>
      <w:r w:rsidR="00087306">
        <w:t>kinetics</w:t>
      </w:r>
      <w:r>
        <w:t>, equilibrium,</w:t>
      </w:r>
      <w:r w:rsidR="000B3799">
        <w:t xml:space="preserve"> and </w:t>
      </w:r>
      <w:r>
        <w:t>acids and bases</w:t>
      </w:r>
      <w:r w:rsidR="000B3799">
        <w:t>.</w:t>
      </w:r>
    </w:p>
    <w:p w14:paraId="796DB88A" w14:textId="77777777" w:rsidR="003F47BD" w:rsidRPr="008A4FA6" w:rsidRDefault="007A4893">
      <w:pPr>
        <w:rPr>
          <w:rFonts w:asciiTheme="majorHAnsi" w:hAnsiTheme="majorHAnsi"/>
        </w:rPr>
      </w:pPr>
      <w:r>
        <w:t xml:space="preserve"> Main Goals: The main goal of this program is to provide a solid foundation in the study of matter and its changes. Through many activities students will demonstrate how theory is applicable in laboratory situations. All students will develop good methods of problem sol</w:t>
      </w:r>
      <w:r w:rsidR="000B3799">
        <w:t>ving and proper laboratory tech</w:t>
      </w:r>
      <w:r>
        <w:t>nique</w:t>
      </w:r>
      <w:r w:rsidR="000B3799">
        <w:t>.</w:t>
      </w:r>
    </w:p>
    <w:p w14:paraId="014D872A" w14:textId="77777777" w:rsidR="00065139" w:rsidRDefault="00065139" w:rsidP="00065139">
      <w:pPr>
        <w:rPr>
          <w:rFonts w:asciiTheme="majorHAnsi" w:hAnsiTheme="majorHAnsi"/>
          <w:b/>
          <w:u w:val="single"/>
        </w:rPr>
      </w:pPr>
      <w:r w:rsidRPr="003600C0">
        <w:rPr>
          <w:rFonts w:asciiTheme="majorHAnsi" w:hAnsiTheme="majorHAnsi"/>
          <w:b/>
          <w:u w:val="single"/>
        </w:rPr>
        <w:t>Text and Materials</w:t>
      </w:r>
    </w:p>
    <w:p w14:paraId="164701A5" w14:textId="77777777" w:rsidR="00DB04EB" w:rsidRPr="00DB04EB" w:rsidRDefault="00087306" w:rsidP="00065139">
      <w:pPr>
        <w:rPr>
          <w:rFonts w:asciiTheme="majorHAnsi" w:hAnsiTheme="majorHAnsi"/>
        </w:rPr>
      </w:pPr>
      <w:r>
        <w:rPr>
          <w:rFonts w:asciiTheme="majorHAnsi" w:hAnsiTheme="majorHAnsi"/>
        </w:rPr>
        <w:t>Chemistry- Matter and Change (Glencoe)</w:t>
      </w:r>
    </w:p>
    <w:p w14:paraId="3D16D0F0" w14:textId="77777777" w:rsidR="003600C0" w:rsidRDefault="003600C0">
      <w:pPr>
        <w:rPr>
          <w:rFonts w:asciiTheme="majorHAnsi" w:hAnsiTheme="majorHAnsi"/>
          <w:b/>
          <w:u w:val="single"/>
        </w:rPr>
      </w:pPr>
      <w:r w:rsidRPr="003600C0">
        <w:rPr>
          <w:rFonts w:asciiTheme="majorHAnsi" w:hAnsiTheme="majorHAnsi"/>
          <w:b/>
          <w:u w:val="single"/>
        </w:rPr>
        <w:t>Course Objectives</w:t>
      </w:r>
    </w:p>
    <w:p w14:paraId="2F5A5CCB" w14:textId="1F6D1343" w:rsidR="00DB04EB" w:rsidRPr="008A4FA6" w:rsidRDefault="00751231">
      <w:pPr>
        <w:rPr>
          <w:rFonts w:asciiTheme="majorHAnsi" w:hAnsiTheme="majorHAnsi"/>
        </w:rPr>
      </w:pPr>
      <w:r>
        <w:rPr>
          <w:rFonts w:asciiTheme="majorHAnsi" w:hAnsiTheme="majorHAnsi"/>
        </w:rPr>
        <w:t xml:space="preserve">Learning goals for each unit of study are included in the </w:t>
      </w:r>
      <w:r w:rsidR="00BD5BBF">
        <w:rPr>
          <w:rFonts w:asciiTheme="majorHAnsi" w:hAnsiTheme="majorHAnsi"/>
        </w:rPr>
        <w:t xml:space="preserve">Volusia County </w:t>
      </w:r>
      <w:r>
        <w:rPr>
          <w:rFonts w:asciiTheme="majorHAnsi" w:hAnsiTheme="majorHAnsi"/>
        </w:rPr>
        <w:t>Chemistry</w:t>
      </w:r>
      <w:r w:rsidR="00BD5BBF">
        <w:rPr>
          <w:rFonts w:asciiTheme="majorHAnsi" w:hAnsiTheme="majorHAnsi"/>
        </w:rPr>
        <w:t xml:space="preserve"> 1</w:t>
      </w:r>
      <w:r>
        <w:rPr>
          <w:rFonts w:asciiTheme="majorHAnsi" w:hAnsiTheme="majorHAnsi"/>
        </w:rPr>
        <w:t xml:space="preserve"> Curriculum Map</w:t>
      </w:r>
      <w:r w:rsidR="00BD5BBF">
        <w:rPr>
          <w:rFonts w:asciiTheme="majorHAnsi" w:hAnsiTheme="majorHAnsi"/>
        </w:rPr>
        <w:t xml:space="preserve">, which can be found at </w:t>
      </w:r>
      <w:hyperlink r:id="rId8" w:history="1">
        <w:r w:rsidR="00BD5BBF" w:rsidRPr="00202296">
          <w:rPr>
            <w:rStyle w:val="Hyperlink"/>
            <w:rFonts w:asciiTheme="majorHAnsi" w:hAnsiTheme="majorHAnsi"/>
          </w:rPr>
          <w:t>http://myvolusiaschools.org/K12-Curriculum</w:t>
        </w:r>
        <w:r w:rsidR="00202296" w:rsidRPr="00202296">
          <w:rPr>
            <w:rStyle w:val="Hyperlink"/>
            <w:rFonts w:asciiTheme="majorHAnsi" w:hAnsiTheme="majorHAnsi"/>
          </w:rPr>
          <w:t>/</w:t>
        </w:r>
      </w:hyperlink>
    </w:p>
    <w:p w14:paraId="38A6B28F" w14:textId="77777777" w:rsidR="006F29F1" w:rsidRPr="003600C0" w:rsidRDefault="003600C0">
      <w:pPr>
        <w:rPr>
          <w:rFonts w:asciiTheme="majorHAnsi" w:hAnsiTheme="majorHAnsi"/>
          <w:b/>
          <w:u w:val="single"/>
        </w:rPr>
      </w:pPr>
      <w:r w:rsidRPr="003600C0">
        <w:rPr>
          <w:rFonts w:asciiTheme="majorHAnsi" w:hAnsiTheme="majorHAnsi"/>
          <w:b/>
          <w:u w:val="single"/>
        </w:rPr>
        <w:t>Grading Scale</w:t>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u w:val="single"/>
        </w:rPr>
        <w:t>Evaluation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1"/>
        <w:gridCol w:w="3844"/>
        <w:gridCol w:w="1522"/>
        <w:gridCol w:w="2913"/>
      </w:tblGrid>
      <w:tr w:rsidR="003600C0" w14:paraId="0DCABE71" w14:textId="77777777" w:rsidTr="00171CEC">
        <w:tc>
          <w:tcPr>
            <w:tcW w:w="1098" w:type="dxa"/>
          </w:tcPr>
          <w:p w14:paraId="6E1CF77B" w14:textId="77777777" w:rsidR="003600C0" w:rsidRDefault="003600C0" w:rsidP="003600C0">
            <w:pPr>
              <w:rPr>
                <w:rFonts w:asciiTheme="majorHAnsi" w:hAnsiTheme="majorHAnsi"/>
              </w:rPr>
            </w:pPr>
            <w:r>
              <w:rPr>
                <w:rFonts w:asciiTheme="majorHAnsi" w:hAnsiTheme="majorHAnsi"/>
              </w:rPr>
              <w:t xml:space="preserve">90 – 100   </w:t>
            </w:r>
          </w:p>
        </w:tc>
        <w:tc>
          <w:tcPr>
            <w:tcW w:w="3960" w:type="dxa"/>
          </w:tcPr>
          <w:p w14:paraId="684F1A39" w14:textId="77777777" w:rsidR="003600C0" w:rsidRDefault="003600C0">
            <w:pPr>
              <w:rPr>
                <w:rFonts w:asciiTheme="majorHAnsi" w:hAnsiTheme="majorHAnsi"/>
              </w:rPr>
            </w:pPr>
            <w:r>
              <w:rPr>
                <w:rFonts w:asciiTheme="majorHAnsi" w:hAnsiTheme="majorHAnsi"/>
              </w:rPr>
              <w:t>A</w:t>
            </w:r>
          </w:p>
        </w:tc>
        <w:tc>
          <w:tcPr>
            <w:tcW w:w="1530" w:type="dxa"/>
          </w:tcPr>
          <w:p w14:paraId="3DADF651" w14:textId="77777777" w:rsidR="003600C0" w:rsidRDefault="003600C0">
            <w:pPr>
              <w:rPr>
                <w:rFonts w:asciiTheme="majorHAnsi" w:hAnsiTheme="majorHAnsi"/>
              </w:rPr>
            </w:pPr>
            <w:r>
              <w:rPr>
                <w:rFonts w:asciiTheme="majorHAnsi" w:hAnsiTheme="majorHAnsi"/>
              </w:rPr>
              <w:t>Diagnostic</w:t>
            </w:r>
          </w:p>
        </w:tc>
        <w:tc>
          <w:tcPr>
            <w:tcW w:w="2988" w:type="dxa"/>
          </w:tcPr>
          <w:p w14:paraId="55CF53B2" w14:textId="77777777" w:rsidR="003600C0" w:rsidRDefault="003600C0">
            <w:pPr>
              <w:rPr>
                <w:rFonts w:asciiTheme="majorHAnsi" w:hAnsiTheme="majorHAnsi"/>
              </w:rPr>
            </w:pPr>
            <w:r>
              <w:rPr>
                <w:rFonts w:asciiTheme="majorHAnsi" w:hAnsiTheme="majorHAnsi"/>
              </w:rPr>
              <w:t>0%</w:t>
            </w:r>
          </w:p>
        </w:tc>
      </w:tr>
      <w:tr w:rsidR="003600C0" w14:paraId="125E624A" w14:textId="77777777" w:rsidTr="00171CEC">
        <w:tc>
          <w:tcPr>
            <w:tcW w:w="1098" w:type="dxa"/>
          </w:tcPr>
          <w:p w14:paraId="35F8A24F" w14:textId="77777777" w:rsidR="003600C0" w:rsidRDefault="003600C0" w:rsidP="003600C0">
            <w:pPr>
              <w:rPr>
                <w:rFonts w:asciiTheme="majorHAnsi" w:hAnsiTheme="majorHAnsi"/>
              </w:rPr>
            </w:pPr>
            <w:r>
              <w:rPr>
                <w:rFonts w:asciiTheme="majorHAnsi" w:hAnsiTheme="majorHAnsi"/>
              </w:rPr>
              <w:t xml:space="preserve">80 – 89     </w:t>
            </w:r>
          </w:p>
        </w:tc>
        <w:tc>
          <w:tcPr>
            <w:tcW w:w="3960" w:type="dxa"/>
          </w:tcPr>
          <w:p w14:paraId="1E777F74" w14:textId="77777777" w:rsidR="003600C0" w:rsidRDefault="003600C0">
            <w:pPr>
              <w:rPr>
                <w:rFonts w:asciiTheme="majorHAnsi" w:hAnsiTheme="majorHAnsi"/>
              </w:rPr>
            </w:pPr>
            <w:r>
              <w:rPr>
                <w:rFonts w:asciiTheme="majorHAnsi" w:hAnsiTheme="majorHAnsi"/>
              </w:rPr>
              <w:t>B</w:t>
            </w:r>
          </w:p>
        </w:tc>
        <w:tc>
          <w:tcPr>
            <w:tcW w:w="1530" w:type="dxa"/>
          </w:tcPr>
          <w:p w14:paraId="696134F1" w14:textId="77777777" w:rsidR="003600C0" w:rsidRDefault="003600C0">
            <w:pPr>
              <w:rPr>
                <w:rFonts w:asciiTheme="majorHAnsi" w:hAnsiTheme="majorHAnsi"/>
              </w:rPr>
            </w:pPr>
            <w:r>
              <w:rPr>
                <w:rFonts w:asciiTheme="majorHAnsi" w:hAnsiTheme="majorHAnsi"/>
              </w:rPr>
              <w:t>Formative</w:t>
            </w:r>
          </w:p>
        </w:tc>
        <w:tc>
          <w:tcPr>
            <w:tcW w:w="2988" w:type="dxa"/>
          </w:tcPr>
          <w:p w14:paraId="5138FD68" w14:textId="77777777" w:rsidR="003600C0" w:rsidRDefault="003600C0">
            <w:pPr>
              <w:rPr>
                <w:rFonts w:asciiTheme="majorHAnsi" w:hAnsiTheme="majorHAnsi"/>
              </w:rPr>
            </w:pPr>
            <w:r>
              <w:rPr>
                <w:rFonts w:asciiTheme="majorHAnsi" w:hAnsiTheme="majorHAnsi"/>
              </w:rPr>
              <w:t>40%</w:t>
            </w:r>
          </w:p>
        </w:tc>
      </w:tr>
      <w:tr w:rsidR="003600C0" w14:paraId="3E627B23" w14:textId="77777777" w:rsidTr="00171CEC">
        <w:tc>
          <w:tcPr>
            <w:tcW w:w="1098" w:type="dxa"/>
          </w:tcPr>
          <w:p w14:paraId="49ED6CC0" w14:textId="77777777" w:rsidR="003600C0" w:rsidRDefault="003600C0">
            <w:pPr>
              <w:rPr>
                <w:rFonts w:asciiTheme="majorHAnsi" w:hAnsiTheme="majorHAnsi"/>
              </w:rPr>
            </w:pPr>
            <w:r>
              <w:rPr>
                <w:rFonts w:asciiTheme="majorHAnsi" w:hAnsiTheme="majorHAnsi"/>
              </w:rPr>
              <w:t>70 – 79</w:t>
            </w:r>
          </w:p>
        </w:tc>
        <w:tc>
          <w:tcPr>
            <w:tcW w:w="3960" w:type="dxa"/>
          </w:tcPr>
          <w:p w14:paraId="3471E09C" w14:textId="77777777" w:rsidR="003600C0" w:rsidRDefault="003600C0">
            <w:pPr>
              <w:rPr>
                <w:rFonts w:asciiTheme="majorHAnsi" w:hAnsiTheme="majorHAnsi"/>
              </w:rPr>
            </w:pPr>
            <w:r>
              <w:rPr>
                <w:rFonts w:asciiTheme="majorHAnsi" w:hAnsiTheme="majorHAnsi"/>
              </w:rPr>
              <w:t>C</w:t>
            </w:r>
          </w:p>
        </w:tc>
        <w:tc>
          <w:tcPr>
            <w:tcW w:w="1530" w:type="dxa"/>
          </w:tcPr>
          <w:p w14:paraId="0FC298DE" w14:textId="77777777" w:rsidR="003600C0" w:rsidRDefault="003600C0">
            <w:pPr>
              <w:rPr>
                <w:rFonts w:asciiTheme="majorHAnsi" w:hAnsiTheme="majorHAnsi"/>
              </w:rPr>
            </w:pPr>
            <w:r>
              <w:rPr>
                <w:rFonts w:asciiTheme="majorHAnsi" w:hAnsiTheme="majorHAnsi"/>
              </w:rPr>
              <w:t>Summative</w:t>
            </w:r>
          </w:p>
        </w:tc>
        <w:tc>
          <w:tcPr>
            <w:tcW w:w="2988" w:type="dxa"/>
          </w:tcPr>
          <w:p w14:paraId="376F281C" w14:textId="77777777" w:rsidR="003600C0" w:rsidRDefault="003600C0">
            <w:pPr>
              <w:rPr>
                <w:rFonts w:asciiTheme="majorHAnsi" w:hAnsiTheme="majorHAnsi"/>
              </w:rPr>
            </w:pPr>
            <w:r>
              <w:rPr>
                <w:rFonts w:asciiTheme="majorHAnsi" w:hAnsiTheme="majorHAnsi"/>
              </w:rPr>
              <w:t>60%</w:t>
            </w:r>
          </w:p>
        </w:tc>
      </w:tr>
      <w:tr w:rsidR="003600C0" w14:paraId="7BBC6AEA" w14:textId="77777777" w:rsidTr="00171CEC">
        <w:tc>
          <w:tcPr>
            <w:tcW w:w="1098" w:type="dxa"/>
          </w:tcPr>
          <w:p w14:paraId="631AB3B2" w14:textId="77777777" w:rsidR="003600C0" w:rsidRDefault="003600C0">
            <w:pPr>
              <w:rPr>
                <w:rFonts w:asciiTheme="majorHAnsi" w:hAnsiTheme="majorHAnsi"/>
              </w:rPr>
            </w:pPr>
            <w:r>
              <w:rPr>
                <w:rFonts w:asciiTheme="majorHAnsi" w:hAnsiTheme="majorHAnsi"/>
              </w:rPr>
              <w:t xml:space="preserve">60 – 69 </w:t>
            </w:r>
          </w:p>
        </w:tc>
        <w:tc>
          <w:tcPr>
            <w:tcW w:w="3960" w:type="dxa"/>
          </w:tcPr>
          <w:p w14:paraId="126CA688" w14:textId="77777777" w:rsidR="003600C0" w:rsidRDefault="003600C0">
            <w:pPr>
              <w:rPr>
                <w:rFonts w:asciiTheme="majorHAnsi" w:hAnsiTheme="majorHAnsi"/>
              </w:rPr>
            </w:pPr>
            <w:r>
              <w:rPr>
                <w:rFonts w:asciiTheme="majorHAnsi" w:hAnsiTheme="majorHAnsi"/>
              </w:rPr>
              <w:t>D</w:t>
            </w:r>
          </w:p>
        </w:tc>
        <w:tc>
          <w:tcPr>
            <w:tcW w:w="1530" w:type="dxa"/>
          </w:tcPr>
          <w:p w14:paraId="6D3D7456" w14:textId="77777777" w:rsidR="003600C0" w:rsidRDefault="003600C0">
            <w:pPr>
              <w:rPr>
                <w:rFonts w:asciiTheme="majorHAnsi" w:hAnsiTheme="majorHAnsi"/>
              </w:rPr>
            </w:pPr>
          </w:p>
        </w:tc>
        <w:tc>
          <w:tcPr>
            <w:tcW w:w="2988" w:type="dxa"/>
          </w:tcPr>
          <w:p w14:paraId="69A50BA3" w14:textId="77777777" w:rsidR="003600C0" w:rsidRDefault="003600C0">
            <w:pPr>
              <w:rPr>
                <w:rFonts w:asciiTheme="majorHAnsi" w:hAnsiTheme="majorHAnsi"/>
              </w:rPr>
            </w:pPr>
          </w:p>
        </w:tc>
      </w:tr>
      <w:tr w:rsidR="00171CEC" w14:paraId="17A3DF9B" w14:textId="77777777" w:rsidTr="00171CEC">
        <w:tc>
          <w:tcPr>
            <w:tcW w:w="1098" w:type="dxa"/>
          </w:tcPr>
          <w:p w14:paraId="065E9922" w14:textId="77777777" w:rsidR="00171CEC" w:rsidRDefault="00171CEC">
            <w:pPr>
              <w:rPr>
                <w:rFonts w:asciiTheme="majorHAnsi" w:hAnsiTheme="majorHAnsi"/>
              </w:rPr>
            </w:pPr>
            <w:r>
              <w:rPr>
                <w:rFonts w:asciiTheme="majorHAnsi" w:hAnsiTheme="majorHAnsi"/>
              </w:rPr>
              <w:t xml:space="preserve">0 – 59 </w:t>
            </w:r>
          </w:p>
        </w:tc>
        <w:tc>
          <w:tcPr>
            <w:tcW w:w="3960" w:type="dxa"/>
          </w:tcPr>
          <w:p w14:paraId="76256638" w14:textId="77777777" w:rsidR="00171CEC" w:rsidRDefault="00171CEC">
            <w:pPr>
              <w:rPr>
                <w:rFonts w:asciiTheme="majorHAnsi" w:hAnsiTheme="majorHAnsi"/>
              </w:rPr>
            </w:pPr>
            <w:r>
              <w:rPr>
                <w:rFonts w:asciiTheme="majorHAnsi" w:hAnsiTheme="majorHAnsi"/>
              </w:rPr>
              <w:t>F</w:t>
            </w:r>
          </w:p>
        </w:tc>
        <w:tc>
          <w:tcPr>
            <w:tcW w:w="4518" w:type="dxa"/>
            <w:gridSpan w:val="2"/>
          </w:tcPr>
          <w:p w14:paraId="13CF6D61" w14:textId="77777777" w:rsidR="00171CEC" w:rsidRDefault="00171CEC" w:rsidP="00171CEC">
            <w:pPr>
              <w:rPr>
                <w:rFonts w:asciiTheme="majorHAnsi" w:hAnsiTheme="majorHAnsi"/>
              </w:rPr>
            </w:pPr>
            <w:r>
              <w:rPr>
                <w:rFonts w:asciiTheme="majorHAnsi" w:hAnsiTheme="majorHAnsi"/>
              </w:rPr>
              <w:t>*non state-EOC exam courses will include a 10% final exam category in the last quarter</w:t>
            </w:r>
          </w:p>
        </w:tc>
      </w:tr>
    </w:tbl>
    <w:p w14:paraId="04C60E16" w14:textId="77777777" w:rsidR="003600C0" w:rsidRDefault="003600C0" w:rsidP="003600C0">
      <w:pPr>
        <w:spacing w:after="0"/>
        <w:contextualSpacing/>
        <w:rPr>
          <w:rFonts w:asciiTheme="majorHAnsi" w:hAnsiTheme="majorHAnsi"/>
        </w:rPr>
      </w:pPr>
    </w:p>
    <w:p w14:paraId="3D170E20" w14:textId="77777777" w:rsidR="004F4D5B" w:rsidRDefault="004F4D5B" w:rsidP="00D43614">
      <w:pPr>
        <w:spacing w:after="240"/>
        <w:rPr>
          <w:rFonts w:asciiTheme="majorHAnsi" w:hAnsiTheme="majorHAnsi"/>
          <w:b/>
          <w:u w:val="single"/>
        </w:rPr>
      </w:pPr>
      <w:r>
        <w:rPr>
          <w:rFonts w:asciiTheme="majorHAnsi" w:hAnsiTheme="majorHAnsi"/>
          <w:b/>
          <w:u w:val="single"/>
        </w:rPr>
        <w:t>Late Work and Makeup Work Policy</w:t>
      </w:r>
    </w:p>
    <w:p w14:paraId="3885BAF1" w14:textId="77777777" w:rsidR="004F4D5B" w:rsidRDefault="001D019A" w:rsidP="004F4D5B">
      <w:r>
        <w:t xml:space="preserve">Late work will be accepted </w:t>
      </w:r>
      <w:r w:rsidR="004F4D5B">
        <w:t xml:space="preserve">one day after the assignment due date. </w:t>
      </w:r>
    </w:p>
    <w:p w14:paraId="7D6176CE" w14:textId="77777777" w:rsidR="004F4D5B" w:rsidRPr="004F4D5B" w:rsidRDefault="004F4D5B" w:rsidP="004F4D5B">
      <w:r>
        <w:t>In the event of an excused absence from school, late work will be accepted without penalty provided that the missing work is submitted in a timely manner. (One additional day per day of absence will be allowed.)</w:t>
      </w:r>
    </w:p>
    <w:p w14:paraId="1F17B313" w14:textId="77777777" w:rsidR="003600C0" w:rsidRDefault="003600C0" w:rsidP="003600C0">
      <w:pPr>
        <w:spacing w:after="240"/>
        <w:rPr>
          <w:rFonts w:asciiTheme="majorHAnsi" w:hAnsiTheme="majorHAnsi"/>
          <w:b/>
          <w:u w:val="single"/>
        </w:rPr>
      </w:pPr>
      <w:r w:rsidRPr="003600C0">
        <w:rPr>
          <w:rFonts w:asciiTheme="majorHAnsi" w:hAnsiTheme="majorHAnsi"/>
          <w:b/>
          <w:u w:val="single"/>
        </w:rPr>
        <w:t>Supplies</w:t>
      </w:r>
    </w:p>
    <w:p w14:paraId="234EE73D" w14:textId="0312322A" w:rsidR="00202296" w:rsidRDefault="00202296" w:rsidP="00202296">
      <w:pPr>
        <w:spacing w:after="0" w:line="240" w:lineRule="auto"/>
        <w:rPr>
          <w:rFonts w:asciiTheme="majorHAnsi" w:hAnsiTheme="majorHAnsi"/>
        </w:rPr>
      </w:pPr>
      <w:r>
        <w:rPr>
          <w:rFonts w:asciiTheme="majorHAnsi" w:hAnsiTheme="majorHAnsi"/>
        </w:rPr>
        <w:t>-</w:t>
      </w:r>
      <w:r w:rsidR="004F4D5B">
        <w:rPr>
          <w:rFonts w:asciiTheme="majorHAnsi" w:hAnsiTheme="majorHAnsi"/>
        </w:rPr>
        <w:t>1 ½ inch three ring notebook with 12 dividers</w:t>
      </w:r>
      <w:r w:rsidR="00A3291E">
        <w:rPr>
          <w:rFonts w:asciiTheme="majorHAnsi" w:hAnsiTheme="majorHAnsi"/>
        </w:rPr>
        <w:t xml:space="preserve"> </w:t>
      </w:r>
      <w:r w:rsidR="001D019A">
        <w:rPr>
          <w:rFonts w:asciiTheme="majorHAnsi" w:hAnsiTheme="majorHAnsi"/>
        </w:rPr>
        <w:t xml:space="preserve">  </w:t>
      </w:r>
    </w:p>
    <w:p w14:paraId="6B3DABA7" w14:textId="6C1B382B" w:rsidR="003600C0" w:rsidRDefault="001D019A" w:rsidP="00202296">
      <w:pPr>
        <w:spacing w:after="0" w:line="240" w:lineRule="auto"/>
        <w:rPr>
          <w:rFonts w:asciiTheme="majorHAnsi" w:hAnsiTheme="majorHAnsi"/>
        </w:rPr>
      </w:pPr>
      <w:r>
        <w:rPr>
          <w:rFonts w:asciiTheme="majorHAnsi" w:hAnsiTheme="majorHAnsi"/>
        </w:rPr>
        <w:t xml:space="preserve"> </w:t>
      </w:r>
      <w:r w:rsidR="00202296">
        <w:rPr>
          <w:rFonts w:asciiTheme="majorHAnsi" w:hAnsiTheme="majorHAnsi"/>
        </w:rPr>
        <w:t>-Loose-Leaf Notebook Paper</w:t>
      </w:r>
      <w:r>
        <w:rPr>
          <w:rFonts w:asciiTheme="majorHAnsi" w:hAnsiTheme="majorHAnsi"/>
        </w:rPr>
        <w:t xml:space="preserve">     </w:t>
      </w:r>
      <w:r w:rsidR="00A3291E">
        <w:rPr>
          <w:rFonts w:asciiTheme="majorHAnsi" w:hAnsiTheme="majorHAnsi"/>
        </w:rPr>
        <w:t xml:space="preserve">    </w:t>
      </w:r>
    </w:p>
    <w:p w14:paraId="33981525" w14:textId="77777777" w:rsidR="00202296" w:rsidRDefault="00202296" w:rsidP="00202296">
      <w:pPr>
        <w:spacing w:after="0" w:line="240" w:lineRule="auto"/>
        <w:rPr>
          <w:rFonts w:asciiTheme="majorHAnsi" w:hAnsiTheme="majorHAnsi"/>
        </w:rPr>
      </w:pPr>
      <w:r>
        <w:rPr>
          <w:rFonts w:asciiTheme="majorHAnsi" w:hAnsiTheme="majorHAnsi"/>
        </w:rPr>
        <w:t>-</w:t>
      </w:r>
      <w:r w:rsidR="004F4D5B">
        <w:rPr>
          <w:rFonts w:asciiTheme="majorHAnsi" w:hAnsiTheme="majorHAnsi"/>
        </w:rPr>
        <w:t>4 dry erase markers</w:t>
      </w:r>
      <w:r>
        <w:rPr>
          <w:rFonts w:asciiTheme="majorHAnsi" w:hAnsiTheme="majorHAnsi"/>
        </w:rPr>
        <w:t xml:space="preserve"> to be donated for classroom use would be greatly appreciated</w:t>
      </w:r>
    </w:p>
    <w:p w14:paraId="37EF1802" w14:textId="6C6FE96E" w:rsidR="004F4D5B" w:rsidRDefault="00A3291E" w:rsidP="00202296">
      <w:pPr>
        <w:spacing w:after="0" w:line="240" w:lineRule="auto"/>
        <w:rPr>
          <w:rFonts w:asciiTheme="majorHAnsi" w:hAnsiTheme="majorHAnsi"/>
        </w:rPr>
      </w:pPr>
      <w:r>
        <w:rPr>
          <w:rFonts w:asciiTheme="majorHAnsi" w:hAnsiTheme="majorHAnsi"/>
        </w:rPr>
        <w:lastRenderedPageBreak/>
        <w:tab/>
      </w:r>
    </w:p>
    <w:p w14:paraId="6A78E5C2" w14:textId="77777777" w:rsidR="00D43614" w:rsidRDefault="00D43614" w:rsidP="003600C0">
      <w:pPr>
        <w:spacing w:after="240"/>
        <w:rPr>
          <w:rFonts w:asciiTheme="majorHAnsi" w:hAnsiTheme="majorHAnsi"/>
          <w:b/>
          <w:u w:val="single"/>
        </w:rPr>
      </w:pPr>
      <w:r>
        <w:rPr>
          <w:rFonts w:asciiTheme="majorHAnsi" w:hAnsiTheme="majorHAnsi"/>
          <w:b/>
          <w:u w:val="single"/>
        </w:rPr>
        <w:t>Evaluations</w:t>
      </w:r>
    </w:p>
    <w:p w14:paraId="3B1325EF" w14:textId="77777777" w:rsidR="00F25B8C" w:rsidRDefault="004F4D5B" w:rsidP="003600C0">
      <w:pPr>
        <w:spacing w:after="240"/>
        <w:rPr>
          <w:rFonts w:asciiTheme="majorHAnsi" w:hAnsiTheme="majorHAnsi"/>
        </w:rPr>
      </w:pPr>
      <w:r>
        <w:rPr>
          <w:rFonts w:asciiTheme="majorHAnsi" w:hAnsiTheme="majorHAnsi"/>
        </w:rPr>
        <w:t xml:space="preserve">Summative </w:t>
      </w:r>
      <w:r w:rsidR="00A3291E">
        <w:rPr>
          <w:rFonts w:asciiTheme="majorHAnsi" w:hAnsiTheme="majorHAnsi"/>
        </w:rPr>
        <w:t>unit</w:t>
      </w:r>
      <w:r>
        <w:rPr>
          <w:rFonts w:asciiTheme="majorHAnsi" w:hAnsiTheme="majorHAnsi"/>
        </w:rPr>
        <w:t xml:space="preserve"> tests will accompany each </w:t>
      </w:r>
      <w:r w:rsidR="00A3291E">
        <w:rPr>
          <w:rFonts w:asciiTheme="majorHAnsi" w:hAnsiTheme="majorHAnsi"/>
        </w:rPr>
        <w:t>of the 12 Units of Study.</w:t>
      </w:r>
    </w:p>
    <w:p w14:paraId="68A30F39" w14:textId="77777777" w:rsidR="00A3291E" w:rsidRDefault="00A3291E" w:rsidP="003600C0">
      <w:pPr>
        <w:spacing w:after="240"/>
        <w:rPr>
          <w:rFonts w:asciiTheme="majorHAnsi" w:hAnsiTheme="majorHAnsi"/>
        </w:rPr>
      </w:pPr>
      <w:r>
        <w:rPr>
          <w:rFonts w:asciiTheme="majorHAnsi" w:hAnsiTheme="majorHAnsi"/>
        </w:rPr>
        <w:t xml:space="preserve">Expect </w:t>
      </w:r>
      <w:r w:rsidR="00087306">
        <w:rPr>
          <w:rFonts w:asciiTheme="majorHAnsi" w:hAnsiTheme="majorHAnsi"/>
        </w:rPr>
        <w:t>frequent vocabulary tests</w:t>
      </w:r>
      <w:r w:rsidR="001D019A">
        <w:rPr>
          <w:rFonts w:asciiTheme="majorHAnsi" w:hAnsiTheme="majorHAnsi"/>
        </w:rPr>
        <w:t xml:space="preserve">.   </w:t>
      </w:r>
      <w:r>
        <w:rPr>
          <w:rFonts w:asciiTheme="majorHAnsi" w:hAnsiTheme="majorHAnsi"/>
        </w:rPr>
        <w:t>4 formal lab reports will be submi</w:t>
      </w:r>
      <w:r w:rsidR="00087306">
        <w:rPr>
          <w:rFonts w:asciiTheme="majorHAnsi" w:hAnsiTheme="majorHAnsi"/>
        </w:rPr>
        <w:t>tted, one per quarter.</w:t>
      </w:r>
    </w:p>
    <w:p w14:paraId="528BEFE6" w14:textId="77777777" w:rsidR="00087306" w:rsidRPr="00F25B8C" w:rsidRDefault="00087306" w:rsidP="003600C0">
      <w:pPr>
        <w:spacing w:after="240"/>
        <w:rPr>
          <w:rFonts w:asciiTheme="majorHAnsi" w:hAnsiTheme="majorHAnsi"/>
        </w:rPr>
      </w:pPr>
      <w:r>
        <w:rPr>
          <w:rFonts w:asciiTheme="majorHAnsi" w:hAnsiTheme="majorHAnsi"/>
        </w:rPr>
        <w:t>Quizzes, worksheets, lab activi</w:t>
      </w:r>
      <w:r w:rsidR="001D019A">
        <w:rPr>
          <w:rFonts w:asciiTheme="majorHAnsi" w:hAnsiTheme="majorHAnsi"/>
        </w:rPr>
        <w:t xml:space="preserve">ties, </w:t>
      </w:r>
      <w:r>
        <w:rPr>
          <w:rFonts w:asciiTheme="majorHAnsi" w:hAnsiTheme="majorHAnsi"/>
        </w:rPr>
        <w:t xml:space="preserve">classwork and homework will make up the bulk of formative assessments. </w:t>
      </w:r>
    </w:p>
    <w:p w14:paraId="5D7F1D80" w14:textId="77777777" w:rsidR="00087306" w:rsidRDefault="00087306" w:rsidP="003600C0">
      <w:pPr>
        <w:spacing w:after="240"/>
        <w:rPr>
          <w:rFonts w:asciiTheme="majorHAnsi" w:hAnsiTheme="majorHAnsi"/>
          <w:b/>
          <w:u w:val="single"/>
        </w:rPr>
      </w:pPr>
      <w:r>
        <w:rPr>
          <w:rFonts w:asciiTheme="majorHAnsi" w:hAnsiTheme="majorHAnsi"/>
          <w:b/>
          <w:u w:val="single"/>
        </w:rPr>
        <w:t xml:space="preserve">Online Resources </w:t>
      </w:r>
    </w:p>
    <w:p w14:paraId="709B9442" w14:textId="35C20BCB" w:rsidR="00087306" w:rsidRPr="00087306" w:rsidRDefault="00DB5DB2" w:rsidP="00087306">
      <w:r>
        <w:t xml:space="preserve">Most class information will be shared on the class website, </w:t>
      </w:r>
      <w:hyperlink r:id="rId9" w:history="1">
        <w:r w:rsidRPr="0064031E">
          <w:rPr>
            <w:rStyle w:val="Hyperlink"/>
          </w:rPr>
          <w:t>www.FreidusChem.weebly.com</w:t>
        </w:r>
      </w:hyperlink>
      <w:r>
        <w:t>. From this site, students will be able to access all assignments and reviews as well as helpful study links.</w:t>
      </w:r>
    </w:p>
    <w:p w14:paraId="1B93A33C" w14:textId="77777777" w:rsidR="00FE769F" w:rsidRDefault="00FE769F" w:rsidP="003600C0">
      <w:pPr>
        <w:spacing w:after="240"/>
        <w:rPr>
          <w:rFonts w:asciiTheme="majorHAnsi" w:hAnsiTheme="majorHAnsi"/>
          <w:b/>
          <w:u w:val="single"/>
        </w:rPr>
      </w:pPr>
      <w:r>
        <w:rPr>
          <w:rFonts w:asciiTheme="majorHAnsi" w:hAnsiTheme="majorHAnsi"/>
          <w:b/>
          <w:u w:val="single"/>
        </w:rPr>
        <w:t>Daily, Weekly, or Yearly Expectations</w:t>
      </w:r>
    </w:p>
    <w:p w14:paraId="09EA06FF" w14:textId="77777777" w:rsidR="003A512D" w:rsidRDefault="001D019A" w:rsidP="003600C0">
      <w:pPr>
        <w:spacing w:after="240"/>
      </w:pPr>
      <w:r>
        <w:t>The importance of good attendance and the ongoing monitoring of you</w:t>
      </w:r>
      <w:r w:rsidR="007E7E35">
        <w:t>r</w:t>
      </w:r>
      <w:r>
        <w:t xml:space="preserve"> grade cannot be overemphasized</w:t>
      </w:r>
      <w:r w:rsidR="007E7E35">
        <w:t>.  As your teacher, I make it a priority to keep your grades</w:t>
      </w:r>
      <w:r w:rsidR="000E3293">
        <w:t xml:space="preserve"> </w:t>
      </w:r>
      <w:r w:rsidR="007E7E35">
        <w:t xml:space="preserve">up to date.  It is </w:t>
      </w:r>
      <w:r w:rsidR="007E7E35" w:rsidRPr="007E7E35">
        <w:rPr>
          <w:u w:val="single"/>
        </w:rPr>
        <w:t>your responsibility</w:t>
      </w:r>
      <w:r w:rsidR="007E7E35">
        <w:t xml:space="preserve"> to check gradebook regularly.  In the event of an excused absence, I will often mark a missing formative assignment as excused.  This will appear as an X in the gradebook and you </w:t>
      </w:r>
      <w:r w:rsidR="003A512D">
        <w:t>will not have to make up this particular assignment</w:t>
      </w:r>
      <w:r w:rsidR="007E7E35">
        <w:t xml:space="preserve">. </w:t>
      </w:r>
      <w:r w:rsidR="003A512D">
        <w:t>Again, a formative assignment, marked with a</w:t>
      </w:r>
      <w:r w:rsidR="000E3293">
        <w:t>n</w:t>
      </w:r>
      <w:r w:rsidR="003A512D">
        <w:t xml:space="preserve"> “X” need not be made up.  </w:t>
      </w:r>
      <w:r w:rsidR="007E7E35">
        <w:t xml:space="preserve"> </w:t>
      </w:r>
      <w:r w:rsidR="003A512D">
        <w:t xml:space="preserve">Essential work that is missing or not completed </w:t>
      </w:r>
      <w:r w:rsidR="007E7E35">
        <w:t xml:space="preserve">will be </w:t>
      </w:r>
      <w:r w:rsidR="003A512D">
        <w:t>entered</w:t>
      </w:r>
      <w:r w:rsidR="007E7E35">
        <w:t xml:space="preserve"> </w:t>
      </w:r>
      <w:r w:rsidR="003A512D">
        <w:t>as</w:t>
      </w:r>
      <w:r w:rsidR="007E7E35">
        <w:t xml:space="preserve"> zero, 0, in gradebook.  </w:t>
      </w:r>
      <w:r w:rsidR="003A512D">
        <w:t xml:space="preserve">These assignments must be made up within 2 days.  </w:t>
      </w:r>
      <w:r w:rsidR="007E7E35">
        <w:t xml:space="preserve"> </w:t>
      </w:r>
      <w:r w:rsidR="003A512D">
        <w:t xml:space="preserve">After the allotted time has elapsed, you lose the ability to earn credit for the assignment.  </w:t>
      </w:r>
    </w:p>
    <w:p w14:paraId="721B2213" w14:textId="51D8EEEC" w:rsidR="003A512D" w:rsidRDefault="003A512D" w:rsidP="003600C0">
      <w:pPr>
        <w:spacing w:after="240"/>
      </w:pPr>
      <w:r>
        <w:t>Making up test</w:t>
      </w:r>
      <w:r w:rsidR="000E3293">
        <w:t>s</w:t>
      </w:r>
      <w:r>
        <w:t>- A score of 70% on a</w:t>
      </w:r>
      <w:r w:rsidR="000E3293">
        <w:t xml:space="preserve"> summative</w:t>
      </w:r>
      <w:r>
        <w:t xml:space="preserve"> unit test shows proficiency.  A test g</w:t>
      </w:r>
      <w:r w:rsidR="000E3293">
        <w:t xml:space="preserve">rade </w:t>
      </w:r>
      <w:r>
        <w:t xml:space="preserve">below 70% should be retaken. You may retake ONE summative test per quarter.  You will be expected to come in at lunch to review the unit study guide, then you may come in at lunch (as per arrangement) to retake the test.  </w:t>
      </w:r>
      <w:r w:rsidR="00D25131">
        <w:t>The deadline for retaking a test is one week after the original test date.</w:t>
      </w:r>
    </w:p>
    <w:p w14:paraId="15F73102" w14:textId="553C91B5" w:rsidR="00D25131" w:rsidRDefault="00D25131" w:rsidP="003600C0">
      <w:pPr>
        <w:spacing w:after="240"/>
      </w:pPr>
      <w:r>
        <w:t xml:space="preserve">Electronic devices- As a BYOT school, your phone may be used as a tool in my classroom.  Appropriate uses of the device include </w:t>
      </w:r>
      <w:r w:rsidR="00BA0AD9">
        <w:t>utilizing the class website</w:t>
      </w:r>
      <w:r>
        <w:t xml:space="preserve">, confirming a definition, </w:t>
      </w:r>
      <w:r w:rsidR="00BA0AD9">
        <w:t>taking</w:t>
      </w:r>
      <w:r w:rsidR="002D45F2">
        <w:t xml:space="preserve"> a picture of your lab apparatus,</w:t>
      </w:r>
      <w:r>
        <w:t xml:space="preserve"> etc.  You may NOT use the device during class to text your friends, order lunch, arrange for a ride, etc.  Referrals will be written for inappropriate use of a cell phone in class.</w:t>
      </w:r>
      <w:r w:rsidR="000E3293">
        <w:t xml:space="preserve">  After a referral is written, you lose your privilege to use your phone as a classroom tool. </w:t>
      </w:r>
    </w:p>
    <w:p w14:paraId="471FE82D" w14:textId="77777777" w:rsidR="000E3293" w:rsidRDefault="000E3293" w:rsidP="003600C0">
      <w:pPr>
        <w:spacing w:after="240"/>
      </w:pPr>
      <w:r>
        <w:t>Classroom Rules</w:t>
      </w:r>
    </w:p>
    <w:p w14:paraId="2E1AE702" w14:textId="77777777" w:rsidR="000E3293" w:rsidRDefault="000E3293" w:rsidP="000E3293">
      <w:pPr>
        <w:pStyle w:val="ListParagraph"/>
        <w:numPr>
          <w:ilvl w:val="0"/>
          <w:numId w:val="1"/>
        </w:numPr>
        <w:spacing w:after="240"/>
      </w:pPr>
      <w:r>
        <w:t xml:space="preserve"> Come to class prepared to be productive (notebooks are needed every day).</w:t>
      </w:r>
    </w:p>
    <w:p w14:paraId="591CF757" w14:textId="77777777" w:rsidR="000E3293" w:rsidRDefault="000E3293" w:rsidP="000E3293">
      <w:pPr>
        <w:pStyle w:val="ListParagraph"/>
        <w:numPr>
          <w:ilvl w:val="0"/>
          <w:numId w:val="1"/>
        </w:numPr>
        <w:spacing w:after="240"/>
      </w:pPr>
      <w:r>
        <w:t xml:space="preserve">The classroom is a learning environment. </w:t>
      </w:r>
      <w:r w:rsidRPr="001C5F65">
        <w:rPr>
          <w:b/>
          <w:i/>
          <w:u w:val="single"/>
        </w:rPr>
        <w:t>Interact with your classmates and teacher respectfully.</w:t>
      </w:r>
    </w:p>
    <w:p w14:paraId="4749A69D" w14:textId="77777777" w:rsidR="000E3293" w:rsidRDefault="000E3293" w:rsidP="000E3293">
      <w:pPr>
        <w:pStyle w:val="ListParagraph"/>
        <w:numPr>
          <w:ilvl w:val="0"/>
          <w:numId w:val="1"/>
        </w:numPr>
        <w:spacing w:after="240"/>
      </w:pPr>
      <w:r>
        <w:t>Clean up your lab station before you leave class.</w:t>
      </w:r>
    </w:p>
    <w:p w14:paraId="6F899EFD" w14:textId="77777777" w:rsidR="00751231" w:rsidRDefault="000E3293" w:rsidP="00E12AAB">
      <w:pPr>
        <w:pStyle w:val="ListParagraph"/>
        <w:numPr>
          <w:ilvl w:val="0"/>
          <w:numId w:val="1"/>
        </w:numPr>
        <w:spacing w:after="240"/>
      </w:pPr>
      <w:r>
        <w:t>Cell phones may only be used a classroom tool, not as a source of entertainment or interpersonal communication</w:t>
      </w:r>
      <w:r w:rsidR="002D45F2">
        <w:t xml:space="preserve">. </w:t>
      </w:r>
    </w:p>
    <w:p w14:paraId="0DA53478" w14:textId="77777777" w:rsidR="002D45F2" w:rsidRDefault="002D45F2" w:rsidP="003600C0">
      <w:pPr>
        <w:spacing w:after="240"/>
      </w:pPr>
      <w:r>
        <w:t>Cheating</w:t>
      </w:r>
    </w:p>
    <w:p w14:paraId="15DA8A15" w14:textId="77777777" w:rsidR="00FE769F" w:rsidRDefault="00751231" w:rsidP="003600C0">
      <w:pPr>
        <w:spacing w:after="240"/>
      </w:pPr>
      <w:r>
        <w:t xml:space="preserve">Unthinkable.  Your </w:t>
      </w:r>
      <w:r w:rsidR="002D45F2">
        <w:t>guardian</w:t>
      </w:r>
      <w:r>
        <w:t xml:space="preserve"> will receive a phone call, you will receive a zero.   </w:t>
      </w:r>
    </w:p>
    <w:p w14:paraId="409CA7F0" w14:textId="77777777" w:rsidR="00DD34ED" w:rsidRPr="002A7DD9" w:rsidRDefault="00DD34ED" w:rsidP="00DD34ED">
      <w:pPr>
        <w:jc w:val="center"/>
        <w:rPr>
          <w:rFonts w:ascii="Comic Sans MS" w:hAnsi="Comic Sans MS"/>
          <w:b/>
        </w:rPr>
      </w:pPr>
      <w:r>
        <w:rPr>
          <w:rFonts w:ascii="Comic Sans MS" w:hAnsi="Comic Sans MS"/>
        </w:rPr>
        <w:lastRenderedPageBreak/>
        <w:t xml:space="preserve">*** </w:t>
      </w:r>
      <w:r>
        <w:rPr>
          <w:rFonts w:ascii="Comic Sans MS" w:hAnsi="Comic Sans MS"/>
          <w:b/>
        </w:rPr>
        <w:t>Please complete and return this form to Mr. Freidus***</w:t>
      </w:r>
    </w:p>
    <w:p w14:paraId="34001E27" w14:textId="025BD098" w:rsidR="00DD34ED" w:rsidRDefault="00DD34ED" w:rsidP="00DD34ED">
      <w:pPr>
        <w:ind w:left="2160"/>
        <w:rPr>
          <w:rFonts w:ascii="Comic Sans MS" w:hAnsi="Comic Sans MS"/>
          <w:b/>
        </w:rPr>
      </w:pPr>
      <w:r>
        <w:rPr>
          <w:rFonts w:ascii="Comic Sans MS" w:hAnsi="Comic Sans MS"/>
          <w:b/>
        </w:rPr>
        <w:t>Chemistry 1</w:t>
      </w:r>
    </w:p>
    <w:p w14:paraId="039192C4" w14:textId="041946F5" w:rsidR="00DD34ED" w:rsidRDefault="00DD34ED" w:rsidP="00DD34ED">
      <w:pPr>
        <w:ind w:left="2160" w:firstLine="720"/>
        <w:rPr>
          <w:rFonts w:ascii="Comic Sans MS" w:hAnsi="Comic Sans MS"/>
          <w:b/>
        </w:rPr>
      </w:pPr>
      <w:r>
        <w:rPr>
          <w:rFonts w:ascii="Comic Sans MS" w:hAnsi="Comic Sans MS"/>
          <w:b/>
        </w:rPr>
        <w:t>Syllabus</w:t>
      </w:r>
    </w:p>
    <w:p w14:paraId="02B81F75" w14:textId="6E852A43" w:rsidR="00DD34ED" w:rsidRDefault="00DD34ED" w:rsidP="00DD34ED">
      <w:pPr>
        <w:jc w:val="center"/>
        <w:rPr>
          <w:rFonts w:ascii="Comic Sans MS" w:hAnsi="Comic Sans MS"/>
          <w:b/>
        </w:rPr>
      </w:pPr>
      <w:r>
        <w:rPr>
          <w:rFonts w:ascii="Comic Sans MS" w:hAnsi="Comic Sans MS"/>
          <w:b/>
        </w:rPr>
        <w:t xml:space="preserve">             Seabreeze High School, 2016-2017                    </w:t>
      </w:r>
    </w:p>
    <w:p w14:paraId="6C9B6C18" w14:textId="61108604" w:rsidR="00DD34ED" w:rsidRDefault="00DD34ED" w:rsidP="00DD34ED">
      <w:pPr>
        <w:jc w:val="center"/>
        <w:rPr>
          <w:rFonts w:ascii="Comic Sans MS" w:hAnsi="Comic Sans MS"/>
          <w:b/>
        </w:rPr>
      </w:pPr>
      <w:r>
        <w:rPr>
          <w:rFonts w:ascii="Comic Sans MS" w:hAnsi="Comic Sans MS"/>
          <w:b/>
        </w:rPr>
        <w:t xml:space="preserve">                                   Mr. Freidus, Room 8-005</w:t>
      </w:r>
    </w:p>
    <w:p w14:paraId="218ED573" w14:textId="77777777" w:rsidR="00DD34ED" w:rsidRDefault="00DD34ED" w:rsidP="00DD34ED">
      <w:pPr>
        <w:rPr>
          <w:rFonts w:ascii="Comic Sans MS" w:hAnsi="Comic Sans MS"/>
          <w:b/>
        </w:rPr>
      </w:pPr>
      <w:r>
        <w:rPr>
          <w:rFonts w:ascii="Comic Sans MS" w:hAnsi="Comic Sans MS"/>
          <w:b/>
        </w:rPr>
        <w:t>______________________________________________________________</w:t>
      </w:r>
    </w:p>
    <w:p w14:paraId="21A23393" w14:textId="63D7442A" w:rsidR="00DD34ED" w:rsidRPr="00DD34ED" w:rsidRDefault="00DD34ED" w:rsidP="00DD34ED">
      <w:pPr>
        <w:jc w:val="center"/>
        <w:rPr>
          <w:b/>
          <w:i/>
        </w:rPr>
      </w:pPr>
      <w:r w:rsidRPr="00DD34ED">
        <w:rPr>
          <w:b/>
          <w:i/>
        </w:rPr>
        <w:t>I have received and read the syllabus for Chemistry 1.</w:t>
      </w:r>
    </w:p>
    <w:p w14:paraId="66A15BF3" w14:textId="77777777" w:rsidR="00DD34ED" w:rsidRDefault="00DD34ED" w:rsidP="00DD34ED">
      <w:pPr>
        <w:jc w:val="center"/>
      </w:pPr>
    </w:p>
    <w:p w14:paraId="12C162CE" w14:textId="77777777" w:rsidR="00DD34ED" w:rsidRDefault="00DD34ED" w:rsidP="00DD34ED"/>
    <w:p w14:paraId="1FF821C0" w14:textId="77777777" w:rsidR="00DD34ED" w:rsidRDefault="00DD34ED" w:rsidP="00DD34ED">
      <w:r>
        <w:t>____________________________</w:t>
      </w:r>
      <w:r>
        <w:tab/>
        <w:t>____________________________</w:t>
      </w:r>
      <w:r>
        <w:tab/>
        <w:t>_________________</w:t>
      </w:r>
    </w:p>
    <w:p w14:paraId="0D337CF9" w14:textId="77777777" w:rsidR="00DD34ED" w:rsidRDefault="00DD34ED" w:rsidP="00DD34ED">
      <w:r>
        <w:t>Student Signature</w:t>
      </w:r>
      <w:r>
        <w:tab/>
      </w:r>
      <w:r>
        <w:tab/>
      </w:r>
      <w:r>
        <w:tab/>
        <w:t>Print Name</w:t>
      </w:r>
      <w:r>
        <w:tab/>
      </w:r>
      <w:r>
        <w:tab/>
      </w:r>
      <w:r>
        <w:tab/>
      </w:r>
      <w:r>
        <w:tab/>
        <w:t>Date</w:t>
      </w:r>
    </w:p>
    <w:p w14:paraId="0B4E151B" w14:textId="77777777" w:rsidR="00DD34ED" w:rsidRDefault="00DD34ED" w:rsidP="00DD34ED"/>
    <w:p w14:paraId="4D8C6C92" w14:textId="77777777" w:rsidR="00DD34ED" w:rsidRDefault="00DD34ED" w:rsidP="00DD34ED"/>
    <w:p w14:paraId="1F2E0CFC" w14:textId="77777777" w:rsidR="00DD34ED" w:rsidRDefault="00DD34ED" w:rsidP="00DD34ED"/>
    <w:p w14:paraId="44B4E142" w14:textId="77777777" w:rsidR="00DD34ED" w:rsidRDefault="00DD34ED" w:rsidP="00DD34ED"/>
    <w:p w14:paraId="6A328647" w14:textId="77777777" w:rsidR="00DD34ED" w:rsidRDefault="00DD34ED" w:rsidP="00DD34ED">
      <w:r>
        <w:t>____________________________</w:t>
      </w:r>
      <w:r>
        <w:tab/>
        <w:t>____________________________</w:t>
      </w:r>
      <w:r>
        <w:tab/>
        <w:t>_________________</w:t>
      </w:r>
    </w:p>
    <w:p w14:paraId="2F5641D0" w14:textId="77777777" w:rsidR="00DD34ED" w:rsidRDefault="00DD34ED" w:rsidP="00DD34ED">
      <w:r>
        <w:t>Parent Signature</w:t>
      </w:r>
      <w:r>
        <w:tab/>
      </w:r>
      <w:r>
        <w:tab/>
      </w:r>
      <w:r>
        <w:tab/>
        <w:t>Print Name</w:t>
      </w:r>
      <w:r>
        <w:tab/>
      </w:r>
      <w:r>
        <w:tab/>
      </w:r>
      <w:r>
        <w:tab/>
      </w:r>
      <w:r>
        <w:tab/>
        <w:t>Date</w:t>
      </w:r>
    </w:p>
    <w:p w14:paraId="1B27913F" w14:textId="77777777" w:rsidR="00DD34ED" w:rsidRDefault="00DD34ED" w:rsidP="00DD34ED"/>
    <w:p w14:paraId="57FBD8B4" w14:textId="77777777" w:rsidR="00DD34ED" w:rsidRDefault="00DD34ED" w:rsidP="00DD34ED"/>
    <w:p w14:paraId="73B561C8" w14:textId="77777777" w:rsidR="00DD34ED" w:rsidRDefault="00DD34ED" w:rsidP="00DD34ED"/>
    <w:p w14:paraId="1075212E" w14:textId="77777777" w:rsidR="00DD34ED" w:rsidRDefault="00DD34ED" w:rsidP="00DD34ED"/>
    <w:p w14:paraId="7886AE5C" w14:textId="77777777" w:rsidR="00DD34ED" w:rsidRDefault="00DD34ED" w:rsidP="00DD34ED">
      <w:r>
        <w:t>Parent Email___________________________  cell_____________________________</w:t>
      </w:r>
    </w:p>
    <w:p w14:paraId="61DBF8A7" w14:textId="77777777" w:rsidR="00DD34ED" w:rsidRDefault="00DD34ED" w:rsidP="00DD34ED"/>
    <w:p w14:paraId="4EDF1AF9" w14:textId="77777777" w:rsidR="00DD34ED" w:rsidRDefault="00DD34ED" w:rsidP="00DD34ED"/>
    <w:p w14:paraId="601AA968" w14:textId="77777777" w:rsidR="00DD34ED" w:rsidRDefault="00DD34ED" w:rsidP="00DD34ED"/>
    <w:p w14:paraId="79E1EAA5" w14:textId="77777777" w:rsidR="00DD34ED" w:rsidRDefault="00DD34ED" w:rsidP="00DD34ED"/>
    <w:p w14:paraId="6AF3C369" w14:textId="77777777" w:rsidR="00DD34ED" w:rsidRDefault="00DD34ED" w:rsidP="00DD34ED"/>
    <w:p w14:paraId="6F2589DF" w14:textId="51F22AA8" w:rsidR="00DD34ED" w:rsidRPr="00751231" w:rsidRDefault="00DD34ED" w:rsidP="00DD34ED">
      <w:r>
        <w:t>Please sign and return this form to class.</w:t>
      </w:r>
    </w:p>
    <w:sectPr w:rsidR="00DD34ED" w:rsidRPr="00751231" w:rsidSect="00171CEC">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350A59" w14:textId="77777777" w:rsidR="00196D4D" w:rsidRDefault="00196D4D" w:rsidP="00642ADD">
      <w:pPr>
        <w:spacing w:after="0" w:line="240" w:lineRule="auto"/>
      </w:pPr>
      <w:r>
        <w:separator/>
      </w:r>
    </w:p>
  </w:endnote>
  <w:endnote w:type="continuationSeparator" w:id="0">
    <w:p w14:paraId="4DBEB8B7" w14:textId="77777777" w:rsidR="00196D4D" w:rsidRDefault="00196D4D" w:rsidP="00642A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24ADED" w14:textId="77777777" w:rsidR="00196D4D" w:rsidRDefault="00196D4D" w:rsidP="00642ADD">
      <w:pPr>
        <w:spacing w:after="0" w:line="240" w:lineRule="auto"/>
      </w:pPr>
      <w:r>
        <w:separator/>
      </w:r>
    </w:p>
  </w:footnote>
  <w:footnote w:type="continuationSeparator" w:id="0">
    <w:p w14:paraId="522E6C25" w14:textId="77777777" w:rsidR="00196D4D" w:rsidRDefault="00196D4D" w:rsidP="00642A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7827F8"/>
    <w:multiLevelType w:val="hybridMultilevel"/>
    <w:tmpl w:val="2E140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672"/>
    <w:rsid w:val="00061A7A"/>
    <w:rsid w:val="00065139"/>
    <w:rsid w:val="00087306"/>
    <w:rsid w:val="000B0121"/>
    <w:rsid w:val="000B3799"/>
    <w:rsid w:val="000E3293"/>
    <w:rsid w:val="001002C5"/>
    <w:rsid w:val="00145A09"/>
    <w:rsid w:val="00171CEC"/>
    <w:rsid w:val="00196D4D"/>
    <w:rsid w:val="001C5F65"/>
    <w:rsid w:val="001D019A"/>
    <w:rsid w:val="00202296"/>
    <w:rsid w:val="00236D5C"/>
    <w:rsid w:val="002D45F2"/>
    <w:rsid w:val="003600C0"/>
    <w:rsid w:val="003A512D"/>
    <w:rsid w:val="003F47BD"/>
    <w:rsid w:val="004F4D5B"/>
    <w:rsid w:val="00642ADD"/>
    <w:rsid w:val="006F29F1"/>
    <w:rsid w:val="00751231"/>
    <w:rsid w:val="007A4893"/>
    <w:rsid w:val="007E7E35"/>
    <w:rsid w:val="008415DA"/>
    <w:rsid w:val="0089251A"/>
    <w:rsid w:val="008A4FA6"/>
    <w:rsid w:val="008A611B"/>
    <w:rsid w:val="00A20817"/>
    <w:rsid w:val="00A3291E"/>
    <w:rsid w:val="00B95672"/>
    <w:rsid w:val="00BA0AD9"/>
    <w:rsid w:val="00BD5BBF"/>
    <w:rsid w:val="00CD209A"/>
    <w:rsid w:val="00CE462E"/>
    <w:rsid w:val="00D136ED"/>
    <w:rsid w:val="00D2014D"/>
    <w:rsid w:val="00D25131"/>
    <w:rsid w:val="00D43614"/>
    <w:rsid w:val="00D61440"/>
    <w:rsid w:val="00DB04EB"/>
    <w:rsid w:val="00DB5DB2"/>
    <w:rsid w:val="00DD34ED"/>
    <w:rsid w:val="00ED7E70"/>
    <w:rsid w:val="00EE0851"/>
    <w:rsid w:val="00EE58DE"/>
    <w:rsid w:val="00F25B8C"/>
    <w:rsid w:val="00F4435A"/>
    <w:rsid w:val="00F8034C"/>
    <w:rsid w:val="00FE7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1C62F5"/>
  <w15:docId w15:val="{88EF2A8F-DDC4-4E14-A880-B7BBA5B1E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6F29F1"/>
    <w:pPr>
      <w:keepNext/>
      <w:keepLines/>
      <w:spacing w:after="400" w:line="312" w:lineRule="auto"/>
      <w:jc w:val="center"/>
      <w:outlineLvl w:val="0"/>
    </w:pPr>
    <w:rPr>
      <w:rFonts w:asciiTheme="majorHAnsi" w:eastAsiaTheme="majorEastAsia" w:hAnsiTheme="majorHAnsi" w:cstheme="majorBidi"/>
      <w:b/>
      <w:bCs/>
      <w:color w:val="365F91" w:themeColor="accent1" w:themeShade="BF"/>
      <w:sz w:val="30"/>
      <w:szCs w:val="30"/>
      <w:lang w:eastAsia="ja-JP"/>
    </w:rPr>
  </w:style>
  <w:style w:type="paragraph" w:styleId="Heading2">
    <w:name w:val="heading 2"/>
    <w:basedOn w:val="Normal"/>
    <w:next w:val="Normal"/>
    <w:link w:val="Heading2Char"/>
    <w:uiPriority w:val="1"/>
    <w:qFormat/>
    <w:rsid w:val="006F29F1"/>
    <w:pPr>
      <w:keepNext/>
      <w:keepLines/>
      <w:spacing w:before="120" w:after="120"/>
      <w:outlineLvl w:val="1"/>
    </w:pPr>
    <w:rPr>
      <w:rFonts w:asciiTheme="majorHAnsi" w:eastAsiaTheme="majorEastAsia" w:hAnsiTheme="majorHAnsi" w:cstheme="majorBidi"/>
      <w:b/>
      <w:bCs/>
      <w:color w:val="365F91" w:themeColor="accent1" w:themeShade="BF"/>
      <w:sz w:val="18"/>
      <w:szCs w:val="1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F29F1"/>
    <w:rPr>
      <w:rFonts w:asciiTheme="majorHAnsi" w:eastAsiaTheme="majorEastAsia" w:hAnsiTheme="majorHAnsi" w:cstheme="majorBidi"/>
      <w:b/>
      <w:bCs/>
      <w:color w:val="365F91" w:themeColor="accent1" w:themeShade="BF"/>
      <w:sz w:val="30"/>
      <w:szCs w:val="30"/>
      <w:lang w:eastAsia="ja-JP"/>
    </w:rPr>
  </w:style>
  <w:style w:type="character" w:customStyle="1" w:styleId="Heading2Char">
    <w:name w:val="Heading 2 Char"/>
    <w:basedOn w:val="DefaultParagraphFont"/>
    <w:link w:val="Heading2"/>
    <w:uiPriority w:val="1"/>
    <w:rsid w:val="006F29F1"/>
    <w:rPr>
      <w:rFonts w:asciiTheme="majorHAnsi" w:eastAsiaTheme="majorEastAsia" w:hAnsiTheme="majorHAnsi" w:cstheme="majorBidi"/>
      <w:b/>
      <w:bCs/>
      <w:color w:val="365F91" w:themeColor="accent1" w:themeShade="BF"/>
      <w:sz w:val="18"/>
      <w:szCs w:val="18"/>
      <w:lang w:eastAsia="ja-JP"/>
    </w:rPr>
  </w:style>
  <w:style w:type="paragraph" w:styleId="BalloonText">
    <w:name w:val="Balloon Text"/>
    <w:basedOn w:val="Normal"/>
    <w:link w:val="BalloonTextChar"/>
    <w:uiPriority w:val="99"/>
    <w:semiHidden/>
    <w:unhideWhenUsed/>
    <w:rsid w:val="006F2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29F1"/>
    <w:rPr>
      <w:rFonts w:ascii="Tahoma" w:hAnsi="Tahoma" w:cs="Tahoma"/>
      <w:sz w:val="16"/>
      <w:szCs w:val="16"/>
    </w:rPr>
  </w:style>
  <w:style w:type="paragraph" w:styleId="Header">
    <w:name w:val="header"/>
    <w:basedOn w:val="Normal"/>
    <w:link w:val="HeaderChar"/>
    <w:uiPriority w:val="99"/>
    <w:unhideWhenUsed/>
    <w:rsid w:val="00642A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2ADD"/>
  </w:style>
  <w:style w:type="paragraph" w:styleId="Footer">
    <w:name w:val="footer"/>
    <w:basedOn w:val="Normal"/>
    <w:link w:val="FooterChar"/>
    <w:uiPriority w:val="99"/>
    <w:unhideWhenUsed/>
    <w:rsid w:val="00642A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2ADD"/>
  </w:style>
  <w:style w:type="character" w:styleId="PlaceholderText">
    <w:name w:val="Placeholder Text"/>
    <w:basedOn w:val="DefaultParagraphFont"/>
    <w:uiPriority w:val="99"/>
    <w:semiHidden/>
    <w:rsid w:val="003F47BD"/>
    <w:rPr>
      <w:color w:val="808080"/>
    </w:rPr>
  </w:style>
  <w:style w:type="table" w:styleId="TableGrid">
    <w:name w:val="Table Grid"/>
    <w:basedOn w:val="TableNormal"/>
    <w:uiPriority w:val="59"/>
    <w:rsid w:val="003600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3293"/>
    <w:pPr>
      <w:ind w:left="720"/>
      <w:contextualSpacing/>
    </w:pPr>
  </w:style>
  <w:style w:type="character" w:styleId="Hyperlink">
    <w:name w:val="Hyperlink"/>
    <w:basedOn w:val="DefaultParagraphFont"/>
    <w:uiPriority w:val="99"/>
    <w:unhideWhenUsed/>
    <w:rsid w:val="00BD5BBF"/>
    <w:rPr>
      <w:color w:val="0000FF" w:themeColor="hyperlink"/>
      <w:u w:val="single"/>
    </w:rPr>
  </w:style>
  <w:style w:type="character" w:styleId="FollowedHyperlink">
    <w:name w:val="FollowedHyperlink"/>
    <w:basedOn w:val="DefaultParagraphFont"/>
    <w:uiPriority w:val="99"/>
    <w:semiHidden/>
    <w:unhideWhenUsed/>
    <w:rsid w:val="008415D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yvolusiaschools.org/K12-Curriculu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reidusChem.weebly.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mbutric\Desktop\Seabreeze%20Syllabu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3FB40-5E79-402A-A825-150691113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Seabreeze Syllabus Template</Template>
  <TotalTime>0</TotalTime>
  <Pages>3</Pages>
  <Words>804</Words>
  <Characters>4588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VCS</Company>
  <LinksUpToDate>false</LinksUpToDate>
  <CharactersWithSpaces>5382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Butrico, Kristin M.</dc:creator>
  <cp:lastModifiedBy>Freidus III, Elias</cp:lastModifiedBy>
  <cp:revision>2</cp:revision>
  <dcterms:created xsi:type="dcterms:W3CDTF">2016-08-30T13:23:00Z</dcterms:created>
  <dcterms:modified xsi:type="dcterms:W3CDTF">2016-08-30T13:23:00Z</dcterms:modified>
</cp:coreProperties>
</file>